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EF5D2D" w14:textId="77777777" w:rsidR="00792E24" w:rsidRPr="00AF529A" w:rsidRDefault="00792E24">
      <w:pPr>
        <w:spacing w:line="2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30545E90" w14:textId="11996A2B" w:rsidR="00792E24" w:rsidRPr="00AF529A" w:rsidRDefault="00792E24" w:rsidP="00AF529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POUCZENIE O PRZYSŁUGUJĄCYCH SKAZANEMU PRAWACH I CIĄŻĄCYCH NA NIM OBOWIĄZKACH</w:t>
      </w:r>
      <w:r w:rsidR="00AF529A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ZWIĄZANYCH Z DOZOREM ELEKTRONICZNYM, JAK RÓWNIEŻ O KONSEKWENCJACH NARUSZENIA</w:t>
      </w:r>
      <w:r w:rsidR="00AF529A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TYCH OBOWIĄZKÓW</w:t>
      </w:r>
    </w:p>
    <w:p w14:paraId="2FBC7B94" w14:textId="77777777" w:rsidR="00792E24" w:rsidRPr="00AF529A" w:rsidRDefault="00792E24">
      <w:pPr>
        <w:spacing w:line="176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6CDD9842" w14:textId="18420E97" w:rsidR="00792E24" w:rsidRPr="00AF529A" w:rsidRDefault="00792E24">
      <w:pPr>
        <w:spacing w:line="0" w:lineRule="atLeast"/>
        <w:ind w:left="320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Przysługujące skazanemu</w:t>
      </w:r>
      <w:r w:rsidR="00786B62">
        <w:rPr>
          <w:rFonts w:ascii="Times New Roman" w:eastAsia="Times New Roman" w:hAnsi="Times New Roman" w:cs="Times New Roman"/>
          <w:sz w:val="22"/>
          <w:szCs w:val="22"/>
          <w:vertAlign w:val="superscript"/>
        </w:rPr>
        <w:t xml:space="preserve"> </w:t>
      </w:r>
      <w:r w:rsidR="00EA6F33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1</w:t>
      </w:r>
      <w:r w:rsidR="00EA6F33">
        <w:rPr>
          <w:rStyle w:val="Odwoanieprzypisukocowego"/>
          <w:rFonts w:ascii="Times New Roman" w:eastAsia="Times New Roman" w:hAnsi="Times New Roman" w:cs="Times New Roman"/>
          <w:sz w:val="22"/>
          <w:szCs w:val="22"/>
        </w:rPr>
        <w:endnoteReference w:id="1"/>
      </w:r>
      <w:r w:rsidR="00EA6F33">
        <w:rPr>
          <w:rFonts w:ascii="Times New Roman" w:eastAsia="Times New Roman" w:hAnsi="Times New Roman" w:cs="Times New Roman"/>
          <w:sz w:val="22"/>
          <w:szCs w:val="22"/>
          <w:vertAlign w:val="superscript"/>
        </w:rPr>
        <w:t xml:space="preserve"> </w:t>
      </w: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prawa związane z dozorem elektronicznym:</w:t>
      </w:r>
    </w:p>
    <w:p w14:paraId="0C26FE5C" w14:textId="77777777" w:rsidR="00792E24" w:rsidRPr="00AF529A" w:rsidRDefault="00792E24">
      <w:pPr>
        <w:spacing w:line="58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4EF8D5EE" w14:textId="74F9EAFD" w:rsidR="00792E24" w:rsidRPr="00AF529A" w:rsidRDefault="00792E24" w:rsidP="00E215E4">
      <w:pPr>
        <w:numPr>
          <w:ilvl w:val="0"/>
          <w:numId w:val="3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Prawo do złożenia wniosku o zmianę miejsca wykonywania dozoru stacjonarnego. Zmiana taka jest możliwa tylko w przypadkach uzasadnionych szczególnymi okolicznościami i jest dokonywana przez sąd penitencjarny (art. 43o § 1)</w:t>
      </w:r>
      <w:r w:rsidR="00410A47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2</w:t>
      </w:r>
      <w:r w:rsidR="00F80C38">
        <w:rPr>
          <w:rStyle w:val="Odwoanieprzypisukocowego"/>
          <w:rFonts w:ascii="Times New Roman" w:eastAsia="Times New Roman" w:hAnsi="Times New Roman" w:cs="Times New Roman"/>
          <w:sz w:val="22"/>
          <w:szCs w:val="22"/>
        </w:rPr>
        <w:endnoteReference w:id="2"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B33E261" w14:textId="26474B2E" w:rsidR="00792E24" w:rsidRPr="00AF529A" w:rsidRDefault="00792E24" w:rsidP="00E215E4">
      <w:pPr>
        <w:numPr>
          <w:ilvl w:val="0"/>
          <w:numId w:val="3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Prawo do złożenia wniosku o zmianę przedziałów czasu w ciągu doby i w poszczególnych dniach tygodnia,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w których skazany ma prawo oddalenia się ze wskazanego miejsca wykonywania dozoru stacjo</w:t>
      </w:r>
      <w:r w:rsidR="008245AC" w:rsidRPr="00AF529A">
        <w:rPr>
          <w:rFonts w:ascii="Times New Roman" w:eastAsia="Times New Roman" w:hAnsi="Times New Roman" w:cs="Times New Roman"/>
          <w:sz w:val="22"/>
          <w:szCs w:val="22"/>
        </w:rPr>
        <w:t>narnego. Zmiana taka jest możli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wa tylko w uzasadnionych przypadkach i jest dokonywana przez sąd penitencjarny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(art. 43o § 3), a gdy niezbędne jest szybkie dokonanie zmiany, może jej dokonać sądowy kurator zawodowy (art. 43o § 4).</w:t>
      </w:r>
    </w:p>
    <w:p w14:paraId="508071B0" w14:textId="77777777" w:rsidR="00792E24" w:rsidRPr="00AF529A" w:rsidRDefault="00792E24" w:rsidP="00E215E4">
      <w:pPr>
        <w:numPr>
          <w:ilvl w:val="0"/>
          <w:numId w:val="3"/>
        </w:numPr>
        <w:tabs>
          <w:tab w:val="left" w:pos="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Prawo do opuszczenia, po uzyskaniu zezwolenia sądowego kuratora zawodowego, miejsca wykonywania dozoru stacjonarnego na okres nieprzekraczający jednorazowo 7 dni, w miarę potrzeby w asyście osoby najbliższej lub osoby godnej zaufania. Zgodę taką można wydać tylko w przypadkach szczególnie ważnych dla skazanego, uzasadnionych względami zdrowotnymi, rodzinnymi lub osobistymi (art. 43p § 1). Zezwolenie może zostać cofnięte, jeżeli po jego udzieleniu pojawiły się informacje lub okoliczności uzasadniające obawę, że skazany w okresie zezwolenia może na-ruszyć porządek prawny (art. 43p § 2). W przypadku cofnięcia takiego zezwolenia ponowne zezwolenie nie może zostać udzielone (art. 43p § 3).</w:t>
      </w:r>
    </w:p>
    <w:p w14:paraId="232BA633" w14:textId="5D1F6F23" w:rsidR="00792E24" w:rsidRPr="00786B62" w:rsidRDefault="00792E24" w:rsidP="00786B62">
      <w:pPr>
        <w:numPr>
          <w:ilvl w:val="0"/>
          <w:numId w:val="3"/>
        </w:numPr>
        <w:tabs>
          <w:tab w:val="left" w:pos="460"/>
        </w:tabs>
        <w:ind w:left="459" w:hanging="459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Prawo do złożenia wniosku o zarządzenie przez sąd penitencjarny przerwy w wykonaniu kary w systemie dozoru elektronicznego. Wydanie przez sąd takiego zarządzenia jest możliwe, jeżeli przemawiają za tym ważne względy zdrowotne lub osobiste (art. 43q § 1). Jeżeli skazany nie korzysta z przerwy zgodnie</w:t>
      </w:r>
      <w:r w:rsidR="008245AC" w:rsidRPr="00AF529A">
        <w:rPr>
          <w:rFonts w:ascii="Times New Roman" w:eastAsia="Times New Roman" w:hAnsi="Times New Roman" w:cs="Times New Roman"/>
          <w:sz w:val="22"/>
          <w:szCs w:val="22"/>
        </w:rPr>
        <w:t xml:space="preserve"> z celem, w jakim została zarzą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dzona, albo rażąco narusza porządek prawny, przerwa może zostać</w:t>
      </w:r>
      <w:r w:rsidR="00786B6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786B62">
        <w:rPr>
          <w:rFonts w:ascii="Times New Roman" w:eastAsia="Times New Roman" w:hAnsi="Times New Roman" w:cs="Times New Roman"/>
          <w:sz w:val="22"/>
          <w:szCs w:val="22"/>
        </w:rPr>
        <w:t>odwołana (art. 43q §</w:t>
      </w:r>
      <w:r w:rsidR="00786B62">
        <w:rPr>
          <w:rFonts w:ascii="Times New Roman" w:eastAsia="Times New Roman" w:hAnsi="Times New Roman" w:cs="Times New Roman"/>
          <w:sz w:val="22"/>
          <w:szCs w:val="22"/>
        </w:rPr>
        <w:t> </w:t>
      </w:r>
      <w:r w:rsidRPr="00786B62">
        <w:rPr>
          <w:rFonts w:ascii="Times New Roman" w:eastAsia="Times New Roman" w:hAnsi="Times New Roman" w:cs="Times New Roman"/>
          <w:sz w:val="22"/>
          <w:szCs w:val="22"/>
        </w:rPr>
        <w:t>3).</w:t>
      </w:r>
    </w:p>
    <w:p w14:paraId="5C93AE2B" w14:textId="181BD95D" w:rsidR="00792E24" w:rsidRPr="00AF529A" w:rsidRDefault="00792E24" w:rsidP="00E215E4">
      <w:pPr>
        <w:numPr>
          <w:ilvl w:val="0"/>
          <w:numId w:val="3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Prawo do złożenia wniosku do sądu lub do sądowego kuratora zawodowego o wyrażenie zgody na odinstalowanie rejestratora stacjonarnego lub usunięcie nadajnika. Zgoda taka może być wyrażona tylko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w przypadku niecierpiącym zwłoki, z uwagi na zagrożenie życia lub zdrowia ludzkiego (art. 43r § 1).</w:t>
      </w:r>
    </w:p>
    <w:p w14:paraId="288D97F1" w14:textId="77777777" w:rsidR="00792E24" w:rsidRPr="00AF529A" w:rsidRDefault="00792E24" w:rsidP="00E215E4">
      <w:pPr>
        <w:numPr>
          <w:ilvl w:val="0"/>
          <w:numId w:val="3"/>
        </w:numPr>
        <w:tabs>
          <w:tab w:val="left" w:pos="460"/>
        </w:tabs>
        <w:ind w:left="460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Prawo do złożenia zażalenia do sądu na sposób przeprowadzenia przez podmiot d</w:t>
      </w:r>
      <w:r w:rsidR="008245AC" w:rsidRPr="00AF529A">
        <w:rPr>
          <w:rFonts w:ascii="Times New Roman" w:eastAsia="Times New Roman" w:hAnsi="Times New Roman" w:cs="Times New Roman"/>
          <w:sz w:val="22"/>
          <w:szCs w:val="22"/>
        </w:rPr>
        <w:t>ozorujący kontroli środków tech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nicznych (art. 43v § 6).</w:t>
      </w:r>
    </w:p>
    <w:p w14:paraId="5B0AB6BD" w14:textId="77777777" w:rsidR="00792E24" w:rsidRPr="00AF529A" w:rsidRDefault="00792E24" w:rsidP="00E215E4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51167B9" w14:textId="77777777" w:rsidR="00792E24" w:rsidRPr="00AF529A" w:rsidRDefault="00792E24" w:rsidP="00E215E4">
      <w:pPr>
        <w:ind w:left="320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Skazany ma obowiązek:</w:t>
      </w:r>
    </w:p>
    <w:p w14:paraId="47C4EFBC" w14:textId="77777777" w:rsidR="00792E24" w:rsidRPr="00AF529A" w:rsidRDefault="00792E24" w:rsidP="00E215E4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92DDCBB" w14:textId="77777777" w:rsidR="00792E24" w:rsidRPr="00AF529A" w:rsidRDefault="00792E24" w:rsidP="00291406">
      <w:pPr>
        <w:numPr>
          <w:ilvl w:val="0"/>
          <w:numId w:val="4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zgłosić podmiotowi dozorującemu w terminie i w sposób, które zostały określone przez sąd, gotowość do instalacji środków technicznych (art. 43m § 1);</w:t>
      </w:r>
    </w:p>
    <w:p w14:paraId="2173BB1C" w14:textId="77777777" w:rsidR="00792E24" w:rsidRPr="00AF529A" w:rsidRDefault="00792E24" w:rsidP="00E215E4">
      <w:pPr>
        <w:numPr>
          <w:ilvl w:val="0"/>
          <w:numId w:val="4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nieprzerwanie nosić nadajnik (art. 43n § 1 pkt 1);</w:t>
      </w:r>
    </w:p>
    <w:p w14:paraId="6FDDDB04" w14:textId="77777777" w:rsidR="00792E24" w:rsidRPr="00AF529A" w:rsidRDefault="00792E24" w:rsidP="00E215E4">
      <w:pPr>
        <w:numPr>
          <w:ilvl w:val="0"/>
          <w:numId w:val="4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przestrzegać porządku prawnego, w tym przestrzegać przepisów regulujących wykonanie środków karnych, środków kompensacyjnych i przepadku (art. 43zaa § 1 pkt 2);</w:t>
      </w:r>
    </w:p>
    <w:p w14:paraId="2D280AFC" w14:textId="77777777" w:rsidR="00792E24" w:rsidRPr="00AF529A" w:rsidRDefault="00792E24" w:rsidP="00E215E4">
      <w:pPr>
        <w:numPr>
          <w:ilvl w:val="0"/>
          <w:numId w:val="4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wykonywać nałożone na niego obowiązki, w tym związane z dozorem elektronicznym (art. 43zaa § 1 pkt 2);</w:t>
      </w:r>
    </w:p>
    <w:p w14:paraId="743A39FD" w14:textId="77777777" w:rsidR="00792E24" w:rsidRPr="00AF529A" w:rsidRDefault="00792E24" w:rsidP="00E215E4">
      <w:pPr>
        <w:numPr>
          <w:ilvl w:val="0"/>
          <w:numId w:val="4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dbać o powierzone mu środki techniczne, w tym zwłaszcza chronić je przed utratą, zniszczeniem, uszkodzeniem lub uczynieniem niezdatnymi do użytku, oraz zapewniać ich stałe zasilanie energią elektryczną (art. 43n § 1 pkt 2);</w:t>
      </w:r>
    </w:p>
    <w:p w14:paraId="78CF93F2" w14:textId="77777777" w:rsidR="00792E24" w:rsidRPr="00AF529A" w:rsidRDefault="00792E24" w:rsidP="00E215E4">
      <w:pPr>
        <w:numPr>
          <w:ilvl w:val="0"/>
          <w:numId w:val="4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udostępniać podmiotowi dozorującemu powierzone środki techniczne do kontroli, naprawy lub wymiany na każde żądanie tego podmiotu, w tym również umożliwiając pracownikom tego podmiotu wejście do pomieszczeń, w których skazany przebywa, lub na nieruchomość stanowiącą jego własność lub będącą w jego zarządzie (art. 43n § 1 pkt 3);</w:t>
      </w:r>
    </w:p>
    <w:p w14:paraId="58751B2D" w14:textId="4D146B35" w:rsidR="00F80C38" w:rsidRPr="003115B8" w:rsidRDefault="00792E24" w:rsidP="00F80C38">
      <w:pPr>
        <w:numPr>
          <w:ilvl w:val="0"/>
          <w:numId w:val="4"/>
        </w:numPr>
        <w:tabs>
          <w:tab w:val="left" w:pos="460"/>
        </w:tabs>
        <w:spacing w:after="120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udzielać prezesowi sądu lub upoważnionemu sędziemu, sądowemu kuratorowi zawodowemu, podmiotowi dozorującemu i podmiotowi prowadzącemu centralę monitorowania wyjaśnień dotyczących przebiegu odbywania kary i wykonywania nałożonych obowiązków oraz stawiać się na wezwania sędziego i kuratora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(art. 43n § 1 pkt 4).</w:t>
      </w:r>
    </w:p>
    <w:p w14:paraId="413DC591" w14:textId="77777777" w:rsidR="00792E24" w:rsidRPr="00AF529A" w:rsidRDefault="00792E24">
      <w:pPr>
        <w:spacing w:line="0" w:lineRule="atLeast"/>
        <w:ind w:left="320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Skazany, wobec którego wykonywany jest dozór stacjonarny, ma ponadto obowiązek:</w:t>
      </w:r>
    </w:p>
    <w:p w14:paraId="79D113C1" w14:textId="77777777" w:rsidR="00792E24" w:rsidRPr="00AF529A" w:rsidRDefault="00792E24">
      <w:pPr>
        <w:spacing w:line="180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64EFC946" w14:textId="77777777" w:rsidR="00792E24" w:rsidRPr="00AF529A" w:rsidRDefault="00792E24" w:rsidP="00E215E4">
      <w:pPr>
        <w:numPr>
          <w:ilvl w:val="0"/>
          <w:numId w:val="6"/>
        </w:numPr>
        <w:tabs>
          <w:tab w:val="left" w:pos="460"/>
        </w:tabs>
        <w:spacing w:after="120" w:line="0" w:lineRule="atLeast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pozostawać we wskazanym przez sąd miejscu w wyznaczonym czasie (art. 43n § 2 pkt 1);</w:t>
      </w:r>
    </w:p>
    <w:p w14:paraId="5E096D80" w14:textId="77777777" w:rsidR="00792E24" w:rsidRPr="00AF529A" w:rsidRDefault="00792E24" w:rsidP="00E215E4">
      <w:pPr>
        <w:numPr>
          <w:ilvl w:val="0"/>
          <w:numId w:val="6"/>
        </w:numPr>
        <w:tabs>
          <w:tab w:val="left" w:pos="460"/>
        </w:tabs>
        <w:spacing w:after="120" w:line="0" w:lineRule="atLeast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odbierać połączenia przychodzące do rejestratora stacjonarnego (art. 43n § 2 pkt 2);</w:t>
      </w:r>
    </w:p>
    <w:p w14:paraId="2ABAB6FF" w14:textId="77777777" w:rsidR="00792E24" w:rsidRPr="00AF529A" w:rsidRDefault="00792E24" w:rsidP="0010025B">
      <w:pPr>
        <w:numPr>
          <w:ilvl w:val="0"/>
          <w:numId w:val="6"/>
        </w:numPr>
        <w:tabs>
          <w:tab w:val="left" w:pos="460"/>
        </w:tabs>
        <w:spacing w:after="120" w:line="283" w:lineRule="auto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umożliwiać sądowemu kuratorowi zawodowemu wejście do mieszkania lub na nieruchomość, gdzie zainstalowano rejestrator (art. 43n § 2 pkt 3);</w:t>
      </w:r>
    </w:p>
    <w:p w14:paraId="580B12E7" w14:textId="77777777" w:rsidR="00792E24" w:rsidRPr="00AF529A" w:rsidRDefault="00792E24" w:rsidP="0010025B">
      <w:pPr>
        <w:numPr>
          <w:ilvl w:val="0"/>
          <w:numId w:val="6"/>
        </w:numPr>
        <w:tabs>
          <w:tab w:val="left" w:pos="460"/>
        </w:tabs>
        <w:spacing w:line="261" w:lineRule="auto"/>
        <w:ind w:left="460" w:hanging="4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udzielać osobom upoważnionym (prezesowi sądu lub upoważnionemu sędziemu, sądowemu kuratorowi zawodowemu, podmiotowi dozorującemu i podmiotowi prowadzącemu centralę monitorowania), na ich żądanie, wyjaśnień do-tyczących przebiegu odbywania kary i wykonywania nałożonych obowiązków również przy użyciu rejestratora</w:t>
      </w:r>
      <w:r w:rsidR="00EF52B4" w:rsidRPr="00AF529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stacjonarnego (art. 43n § 2 pkt 4).</w:t>
      </w:r>
    </w:p>
    <w:p w14:paraId="3BE0FF96" w14:textId="77777777" w:rsidR="00E215E4" w:rsidRPr="00AF529A" w:rsidRDefault="00E215E4" w:rsidP="0010025B">
      <w:pPr>
        <w:tabs>
          <w:tab w:val="left" w:pos="460"/>
        </w:tabs>
        <w:spacing w:line="261" w:lineRule="auto"/>
        <w:ind w:left="46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1B9E4E6" w14:textId="77777777" w:rsidR="00792E24" w:rsidRPr="00AF529A" w:rsidRDefault="00792E24">
      <w:pPr>
        <w:spacing w:line="0" w:lineRule="atLeast"/>
        <w:ind w:left="320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Konsekwencje naruszenia przez skazanego obowiązków:</w:t>
      </w:r>
    </w:p>
    <w:p w14:paraId="138F295E" w14:textId="77777777" w:rsidR="00792E24" w:rsidRPr="00AF529A" w:rsidRDefault="00792E24">
      <w:pPr>
        <w:spacing w:line="24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7632BE82" w14:textId="77777777" w:rsidR="00792E24" w:rsidRPr="00AF529A" w:rsidRDefault="00792E24" w:rsidP="0010025B">
      <w:pPr>
        <w:spacing w:after="120" w:line="283" w:lineRule="auto"/>
        <w:ind w:firstLine="318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1. Sąd penitencjarny uchyla zezwolenie na odbycie przez skazanego kary pozbawienia wolności w systemie dozoru elektronicznego, jeżeli skazany:</w:t>
      </w:r>
    </w:p>
    <w:p w14:paraId="13C36662" w14:textId="77777777" w:rsidR="00792E24" w:rsidRPr="00AF529A" w:rsidRDefault="00792E24" w:rsidP="0010025B">
      <w:pPr>
        <w:numPr>
          <w:ilvl w:val="0"/>
          <w:numId w:val="7"/>
        </w:numPr>
        <w:tabs>
          <w:tab w:val="left" w:pos="460"/>
        </w:tabs>
        <w:spacing w:after="120" w:line="266" w:lineRule="auto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nie zachowa wyznaczonego terminu na zgłoszenie upoważnionemu podmiotowi dozorującemu gotowości do instalacji środków technicznych albo uchyla się od niezwłocznego zainstalowania przez podmiot dozorujący rejestratora lub od założenia nadajnika (art. 43zaa § 1 pkt 1);</w:t>
      </w:r>
    </w:p>
    <w:p w14:paraId="4A3B7978" w14:textId="4C58F064" w:rsidR="00792E24" w:rsidRPr="00AF529A" w:rsidRDefault="00792E24" w:rsidP="0010025B">
      <w:pPr>
        <w:numPr>
          <w:ilvl w:val="0"/>
          <w:numId w:val="7"/>
        </w:numPr>
        <w:tabs>
          <w:tab w:val="left" w:pos="460"/>
        </w:tabs>
        <w:spacing w:after="120" w:line="262" w:lineRule="auto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odbywając karę pozbawienia wolności w systemie dozoru elektronicznego, naruszył porządek prawny,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w szczególności popełnił przestępstwo lub przestępstwo skarbowe, lub uchyla się od wykonania obowiązków związanych z dozo-rem elektronicznym lub innych nałożonych obowiązków, orzeczonego środka karnego, środka kompensacyjnego lub przepadku (art. 43zaa § 1 pkt 2);</w:t>
      </w:r>
    </w:p>
    <w:p w14:paraId="66AFCF73" w14:textId="77777777" w:rsidR="00792E24" w:rsidRPr="00AF529A" w:rsidRDefault="00792E24" w:rsidP="0010025B">
      <w:pPr>
        <w:numPr>
          <w:ilvl w:val="0"/>
          <w:numId w:val="7"/>
        </w:numPr>
        <w:tabs>
          <w:tab w:val="left" w:pos="460"/>
        </w:tabs>
        <w:spacing w:after="120" w:line="283" w:lineRule="auto"/>
        <w:ind w:left="459" w:hanging="45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nie będzie korzystał z przerwy w wykonywaniu kary zgodnie z celem, w jakim została</w:t>
      </w:r>
      <w:r w:rsidR="0010025B" w:rsidRPr="00AF529A">
        <w:rPr>
          <w:rFonts w:ascii="Times New Roman" w:eastAsia="Times New Roman" w:hAnsi="Times New Roman" w:cs="Times New Roman"/>
          <w:sz w:val="22"/>
          <w:szCs w:val="22"/>
        </w:rPr>
        <w:t xml:space="preserve"> zarządzona, albo rażąco naru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szy porządek prawny, w związku z czym przerwa ta zostanie przez sąd odwołana (art. 43zaa § 1 pkt 3, art. 43q § 3);</w:t>
      </w:r>
    </w:p>
    <w:p w14:paraId="01B66D56" w14:textId="0B0B0592" w:rsidR="00792E24" w:rsidRPr="00AF529A" w:rsidRDefault="00792E24" w:rsidP="0010025B">
      <w:pPr>
        <w:numPr>
          <w:ilvl w:val="0"/>
          <w:numId w:val="7"/>
        </w:numPr>
        <w:tabs>
          <w:tab w:val="left" w:pos="460"/>
        </w:tabs>
        <w:spacing w:after="120" w:line="266" w:lineRule="auto"/>
        <w:ind w:left="459" w:hanging="4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w czasie wykonywania kary pozbawienia wolności w systemie dozoru elektronicznego został osadzony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w zakładzie karnym w związku z zastosowaniem tymczasowego aresztowania lub wykonaniem kary w innej sprawie</w:t>
      </w:r>
      <w:r w:rsidR="00EF52B4" w:rsidRPr="00AF529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 (art. 43zaa § 1 pkt 4).</w:t>
      </w:r>
    </w:p>
    <w:p w14:paraId="4E8D27B3" w14:textId="77777777" w:rsidR="00792E24" w:rsidRPr="00AF529A" w:rsidRDefault="00792E24">
      <w:pPr>
        <w:spacing w:line="0" w:lineRule="atLeas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b/>
          <w:sz w:val="22"/>
          <w:szCs w:val="22"/>
        </w:rPr>
        <w:t>Od uchylenia zezwolenia można odstąpić w wyjątkowych wypadkach, uzasadnionych szczególnymi okolicznościami.</w:t>
      </w:r>
    </w:p>
    <w:p w14:paraId="1838E55C" w14:textId="77777777" w:rsidR="00792E24" w:rsidRPr="00AF529A" w:rsidRDefault="00792E24">
      <w:pPr>
        <w:spacing w:line="293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59C3B10B" w14:textId="23EBD483" w:rsidR="00792E24" w:rsidRPr="00AF529A" w:rsidRDefault="00792E24" w:rsidP="003115B8">
      <w:pPr>
        <w:numPr>
          <w:ilvl w:val="0"/>
          <w:numId w:val="10"/>
        </w:numPr>
        <w:tabs>
          <w:tab w:val="left" w:pos="523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Sąd penitencjarny może uchylić zezwolenie na odbycie przez skazanego kary pozbawienia wolności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w systemie </w:t>
      </w:r>
      <w:r w:rsidR="0010025B" w:rsidRPr="00AF529A">
        <w:rPr>
          <w:rFonts w:ascii="Times New Roman" w:eastAsia="Times New Roman" w:hAnsi="Times New Roman" w:cs="Times New Roman"/>
          <w:sz w:val="22"/>
          <w:szCs w:val="22"/>
        </w:rPr>
        <w:t>d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ozoru elektronicznego, jeżeli skazany, korzystający za zgodą sądowego kuratora zawodowego </w:t>
      </w:r>
      <w:r w:rsidR="000B283E" w:rsidRPr="00AF529A">
        <w:rPr>
          <w:rFonts w:ascii="Times New Roman" w:eastAsia="Times New Roman" w:hAnsi="Times New Roman" w:cs="Times New Roman"/>
          <w:sz w:val="22"/>
          <w:szCs w:val="22"/>
        </w:rPr>
        <w:br/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z możliwości opuszczenia miejsca wykonywania dozoru stacjonarnego, nie powróci na to miejsce w wyznaczonym terminie (art. 43zab).</w:t>
      </w:r>
    </w:p>
    <w:p w14:paraId="436BDCCC" w14:textId="77777777" w:rsidR="0010025B" w:rsidRPr="00AF529A" w:rsidRDefault="00792E24" w:rsidP="003115B8">
      <w:pPr>
        <w:numPr>
          <w:ilvl w:val="0"/>
          <w:numId w:val="10"/>
        </w:numPr>
        <w:tabs>
          <w:tab w:val="left" w:pos="532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W razie uchylenia zezwolenia na odbycie przez skazanego kary pozbawienia wolności w systemie dozoru </w:t>
      </w:r>
    </w:p>
    <w:p w14:paraId="1C0243DF" w14:textId="77777777" w:rsidR="00792E24" w:rsidRPr="00AF529A" w:rsidRDefault="00792E24" w:rsidP="00291406">
      <w:pPr>
        <w:tabs>
          <w:tab w:val="left" w:pos="532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elektronicznego sąd penitencjarny poleci doprowadzić skazanego do zakładu karnego.</w:t>
      </w:r>
    </w:p>
    <w:p w14:paraId="1DF2799C" w14:textId="77777777" w:rsidR="00792E24" w:rsidRPr="00AF529A" w:rsidRDefault="00792E24" w:rsidP="00D97503">
      <w:pPr>
        <w:numPr>
          <w:ilvl w:val="0"/>
          <w:numId w:val="10"/>
        </w:numPr>
        <w:tabs>
          <w:tab w:val="left" w:pos="516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W razie uchylenia zezwolenia na odbycie przez skazanego kary pozbawienia wolnośc</w:t>
      </w:r>
      <w:r w:rsidR="0010025B" w:rsidRPr="00AF529A">
        <w:rPr>
          <w:rFonts w:ascii="Times New Roman" w:eastAsia="Times New Roman" w:hAnsi="Times New Roman" w:cs="Times New Roman"/>
          <w:sz w:val="22"/>
          <w:szCs w:val="22"/>
        </w:rPr>
        <w:t>i w systemie dozoru elektronicz</w:t>
      </w:r>
      <w:r w:rsidR="00EF52B4" w:rsidRPr="00AF529A">
        <w:rPr>
          <w:rFonts w:ascii="Times New Roman" w:eastAsia="Times New Roman" w:hAnsi="Times New Roman" w:cs="Times New Roman"/>
          <w:sz w:val="22"/>
          <w:szCs w:val="22"/>
        </w:rPr>
        <w:t>nego</w:t>
      </w:r>
      <w:r w:rsidR="0010025B" w:rsidRPr="00AF529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ponowne udzielenie zezwolenia na odbycie kary w tym systemie jest niedopuszczalne w tej samej sprawie (art. 43zae).</w:t>
      </w:r>
    </w:p>
    <w:p w14:paraId="7A3026F7" w14:textId="77777777" w:rsidR="00792E24" w:rsidRPr="00AF529A" w:rsidRDefault="00792E24" w:rsidP="003115B8">
      <w:pPr>
        <w:numPr>
          <w:ilvl w:val="0"/>
          <w:numId w:val="10"/>
        </w:numPr>
        <w:tabs>
          <w:tab w:val="left" w:pos="526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Niedopełnienie przez skazanego obowiązków związanych z dozorem elektronicznym oraz utrudnianie odinstalowania środków technicznych podmiotowi dozorującemu, które spowodowało, że podmiot dozorujący zażądał pomocy Policji, </w:t>
      </w:r>
      <w:r w:rsidR="0010025B" w:rsidRPr="00AF529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F529A">
        <w:rPr>
          <w:rFonts w:ascii="Times New Roman" w:eastAsia="Times New Roman" w:hAnsi="Times New Roman" w:cs="Times New Roman"/>
          <w:sz w:val="22"/>
          <w:szCs w:val="22"/>
        </w:rPr>
        <w:t>prowadzi do obciążenia skazanego kosztami tej pomocy (art. 43u § 3).</w:t>
      </w:r>
    </w:p>
    <w:p w14:paraId="2453D502" w14:textId="77777777" w:rsidR="00792E24" w:rsidRPr="00AF529A" w:rsidRDefault="00792E24" w:rsidP="003115B8">
      <w:pPr>
        <w:numPr>
          <w:ilvl w:val="0"/>
          <w:numId w:val="10"/>
        </w:numPr>
        <w:tabs>
          <w:tab w:val="left" w:pos="518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W razie umyślnego dopuszczenia do zniszczenia, uszkodzenia, uczynienia niezdatnym do użytku nadajnika, rejestratora stacjonarnego lub przenośnego sąd może nałożyć na skazanego opłatę wyrównawczą na rzecz podmiotu dozorującego (art. 43s § 1). Czyn taki jest jednocześnie wykroczeniem zagrożonym karą aresztu, ograniczenia wolności albo karą grzywny (art. 66a ustawy z dnia 20 maja 1971 r. – Kodeks wykroczeń (Dz. U. z 2015 r. poz. 1094, z późn. zm.)).</w:t>
      </w:r>
    </w:p>
    <w:p w14:paraId="3F1F6A32" w14:textId="77777777" w:rsidR="00792E24" w:rsidRPr="00AF529A" w:rsidRDefault="00792E24" w:rsidP="003115B8">
      <w:pPr>
        <w:numPr>
          <w:ilvl w:val="0"/>
          <w:numId w:val="10"/>
        </w:numPr>
        <w:tabs>
          <w:tab w:val="left" w:pos="525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lastRenderedPageBreak/>
        <w:t>Jeżeli skazany udaremnia lub utrudnia kontrolowanie w systemie dozoru elektronicznego orzeczonego wobec niego w związku z zakazem wstępu na imprezę masową obowiązku przebywania w miejscu stałego pobytu lub obowiązku stawiennictwa w jednostce organizacyjnej Policji lub w innym miejscu w czasie trwania imprezy masowej, podlega grzywnie, karze ograniczenia wolności albo pozbawienia wolności do lat 2 (art. 244a § 2 ustawy z dnia 6 czerwca 1997 r. – Kodeks karny (Dz. U. z 2016 r. poz. 1137)).</w:t>
      </w:r>
    </w:p>
    <w:p w14:paraId="606D569E" w14:textId="77777777" w:rsidR="00792E24" w:rsidRDefault="00792E24">
      <w:pPr>
        <w:tabs>
          <w:tab w:val="left" w:pos="525"/>
        </w:tabs>
        <w:spacing w:line="258" w:lineRule="auto"/>
        <w:ind w:firstLine="3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DA0CE74" w14:textId="77777777" w:rsidR="008F736E" w:rsidRPr="00AF529A" w:rsidRDefault="008F736E" w:rsidP="003115B8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 xml:space="preserve">Jeżeli skazany nie stosuje się do określonych w ustawie obowiązków związanych z orzeczonym wobec </w:t>
      </w:r>
    </w:p>
    <w:p w14:paraId="7D1D16EC" w14:textId="77777777" w:rsidR="008F736E" w:rsidRPr="00AF529A" w:rsidRDefault="008F736E" w:rsidP="008F736E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niego środkiem zabezpieczającym (w tym w postaci elektronicznej kontroli miejsca pobytu), podlega grzywnie, karze ograniczenia wolności albo pozbawienia wolności do lat 2 (art. 244b § 1 ustawy z dnia 6 czerwca 1997 r. – Kodeks karny).</w:t>
      </w:r>
    </w:p>
    <w:p w14:paraId="60055351" w14:textId="77777777" w:rsidR="008F736E" w:rsidRPr="00AF529A" w:rsidRDefault="008F736E" w:rsidP="008F736E">
      <w:pPr>
        <w:spacing w:line="200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475A46BB" w14:textId="77777777" w:rsidR="008F736E" w:rsidRPr="00AF529A" w:rsidRDefault="008F736E" w:rsidP="008F736E">
      <w:pPr>
        <w:spacing w:line="200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6D585AE2" w14:textId="77777777" w:rsidR="008F736E" w:rsidRPr="00AF529A" w:rsidRDefault="008F736E" w:rsidP="008F736E">
      <w:pPr>
        <w:spacing w:line="275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71A37FF8" w14:textId="77777777" w:rsidR="008F736E" w:rsidRPr="00AF529A" w:rsidRDefault="008F736E" w:rsidP="008F736E">
      <w:pPr>
        <w:spacing w:line="0" w:lineRule="atLeast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Potwierdzam otrzymanie pouczenia:</w:t>
      </w:r>
    </w:p>
    <w:p w14:paraId="28712E47" w14:textId="77777777" w:rsidR="008F736E" w:rsidRPr="00AF529A" w:rsidRDefault="008F736E" w:rsidP="008F736E">
      <w:pPr>
        <w:spacing w:line="240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190923E6" w14:textId="77777777" w:rsidR="008F736E" w:rsidRPr="00AF529A" w:rsidRDefault="008F736E" w:rsidP="008F736E">
      <w:pPr>
        <w:spacing w:line="239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.................................................</w:t>
      </w:r>
    </w:p>
    <w:p w14:paraId="0EB2FAAF" w14:textId="77777777" w:rsidR="008F736E" w:rsidRPr="00AF529A" w:rsidRDefault="008F736E" w:rsidP="008F736E">
      <w:pPr>
        <w:spacing w:line="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4ABD6FEB" w14:textId="768B479D" w:rsidR="00EF52B4" w:rsidRDefault="008F736E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  <w:r w:rsidRPr="00AF529A">
        <w:rPr>
          <w:rFonts w:ascii="Times New Roman" w:eastAsia="Times New Roman" w:hAnsi="Times New Roman" w:cs="Times New Roman"/>
          <w:sz w:val="22"/>
          <w:szCs w:val="22"/>
        </w:rPr>
        <w:t>(data, podpis)</w:t>
      </w:r>
    </w:p>
    <w:p w14:paraId="5847493F" w14:textId="41D1CF6D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290F64C3" w14:textId="4E99505A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6AAC596B" w14:textId="70EF5E12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29F8D093" w14:textId="496670F1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7A07A9B6" w14:textId="130694FE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7E8EA112" w14:textId="40C636B6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0F2DB1AC" w14:textId="6705C6E2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63ABBD2B" w14:textId="4E84F822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5E2FFE33" w14:textId="7237E029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649F8BD7" w14:textId="57C49630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2BC29C89" w14:textId="63FBF93A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54950E85" w14:textId="755AE618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3B3A287F" w14:textId="41305AB1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771407DF" w14:textId="567EF277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5F28B431" w14:textId="3795AA65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03B6C26E" w14:textId="154DB25B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60C00FF8" w14:textId="43317ECD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5CDA52EA" w14:textId="3EABD00C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60592B8F" w14:textId="57E8E690" w:rsidR="003115B8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p w14:paraId="1CE20572" w14:textId="77777777" w:rsidR="003115B8" w:rsidRPr="00AF529A" w:rsidRDefault="003115B8" w:rsidP="003115B8">
      <w:pPr>
        <w:spacing w:line="0" w:lineRule="atLeast"/>
        <w:ind w:left="8020"/>
        <w:rPr>
          <w:rFonts w:ascii="Times New Roman" w:eastAsia="Times New Roman" w:hAnsi="Times New Roman" w:cs="Times New Roman"/>
          <w:sz w:val="22"/>
          <w:szCs w:val="22"/>
        </w:rPr>
      </w:pPr>
    </w:p>
    <w:sectPr w:rsidR="003115B8" w:rsidRPr="00AF529A">
      <w:footerReference w:type="default" r:id="rId8"/>
      <w:pgSz w:w="11900" w:h="16838"/>
      <w:pgMar w:top="929" w:right="1020" w:bottom="1440" w:left="1020" w:header="0" w:footer="0" w:gutter="0"/>
      <w:cols w:space="0" w:equalWidth="0">
        <w:col w:w="98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B75FA" w14:textId="77777777" w:rsidR="00C71B6A" w:rsidRDefault="00C71B6A" w:rsidP="00EA6F33">
      <w:r>
        <w:separator/>
      </w:r>
    </w:p>
  </w:endnote>
  <w:endnote w:type="continuationSeparator" w:id="0">
    <w:p w14:paraId="0D3F7FF7" w14:textId="77777777" w:rsidR="00C71B6A" w:rsidRDefault="00C71B6A" w:rsidP="00EA6F33">
      <w:r>
        <w:continuationSeparator/>
      </w:r>
    </w:p>
  </w:endnote>
  <w:endnote w:id="1">
    <w:p w14:paraId="3DDFEC70" w14:textId="77777777" w:rsidR="00EA6F33" w:rsidRPr="00AF529A" w:rsidRDefault="00EA6F33" w:rsidP="00EA6F33">
      <w:pPr>
        <w:numPr>
          <w:ilvl w:val="0"/>
          <w:numId w:val="5"/>
        </w:numPr>
        <w:tabs>
          <w:tab w:val="left" w:pos="340"/>
        </w:tabs>
        <w:spacing w:before="120" w:line="223" w:lineRule="auto"/>
        <w:ind w:left="340" w:hanging="340"/>
        <w:jc w:val="both"/>
        <w:rPr>
          <w:rFonts w:ascii="Times New Roman" w:eastAsia="Times New Roman" w:hAnsi="Times New Roman" w:cs="Times New Roman"/>
          <w:sz w:val="18"/>
          <w:szCs w:val="18"/>
          <w:vertAlign w:val="superscript"/>
        </w:rPr>
      </w:pPr>
      <w:r w:rsidRPr="00AF529A">
        <w:rPr>
          <w:rFonts w:ascii="Times New Roman" w:eastAsia="Times New Roman" w:hAnsi="Times New Roman" w:cs="Times New Roman"/>
          <w:sz w:val="18"/>
          <w:szCs w:val="18"/>
        </w:rPr>
        <w:t xml:space="preserve">Ilekroć w pouczeniu jest mowa o skazanym, należy przez to rozumieć również sprawcę, wobec którego orzeczono </w:t>
      </w:r>
    </w:p>
    <w:p w14:paraId="39368289" w14:textId="4F0A3DDA" w:rsidR="00EA6F33" w:rsidRPr="00F80C38" w:rsidRDefault="00EA6F33" w:rsidP="00F80C38">
      <w:pPr>
        <w:tabs>
          <w:tab w:val="left" w:pos="340"/>
        </w:tabs>
        <w:spacing w:line="223" w:lineRule="auto"/>
        <w:ind w:left="3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F529A">
        <w:rPr>
          <w:rFonts w:ascii="Times New Roman" w:eastAsia="Times New Roman" w:hAnsi="Times New Roman" w:cs="Times New Roman"/>
          <w:sz w:val="18"/>
          <w:szCs w:val="18"/>
        </w:rPr>
        <w:t>środek zabezpieczający połączony z dozorem elektronicznym (art. 43a § 2 pkt 2).</w:t>
      </w:r>
    </w:p>
  </w:endnote>
  <w:endnote w:id="2">
    <w:p w14:paraId="3944AD8B" w14:textId="23BAC452" w:rsidR="00F80C38" w:rsidRPr="00AF529A" w:rsidRDefault="00F80C38" w:rsidP="00F80C38">
      <w:pPr>
        <w:spacing w:line="2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1AC274C1" w14:textId="77777777" w:rsidR="00F80C38" w:rsidRPr="00AF529A" w:rsidRDefault="00F80C38" w:rsidP="00F80C38">
      <w:pPr>
        <w:spacing w:line="1" w:lineRule="exact"/>
        <w:rPr>
          <w:rFonts w:ascii="Times New Roman" w:eastAsia="Times New Roman" w:hAnsi="Times New Roman" w:cs="Times New Roman"/>
          <w:sz w:val="18"/>
          <w:szCs w:val="18"/>
          <w:vertAlign w:val="superscript"/>
        </w:rPr>
      </w:pPr>
    </w:p>
    <w:p w14:paraId="496EB883" w14:textId="0057C3EB" w:rsidR="00F80C38" w:rsidRPr="00F80C38" w:rsidRDefault="00F80C38" w:rsidP="00F80C38">
      <w:pPr>
        <w:numPr>
          <w:ilvl w:val="0"/>
          <w:numId w:val="5"/>
        </w:numPr>
        <w:tabs>
          <w:tab w:val="left" w:pos="340"/>
        </w:tabs>
        <w:spacing w:line="208" w:lineRule="auto"/>
        <w:ind w:left="340" w:hanging="340"/>
        <w:jc w:val="both"/>
        <w:rPr>
          <w:rFonts w:ascii="Times New Roman" w:eastAsia="Times New Roman" w:hAnsi="Times New Roman" w:cs="Times New Roman"/>
          <w:sz w:val="18"/>
          <w:szCs w:val="18"/>
          <w:vertAlign w:val="superscript"/>
        </w:rPr>
      </w:pPr>
      <w:r w:rsidRPr="00AF529A">
        <w:rPr>
          <w:rFonts w:ascii="Times New Roman" w:eastAsia="Times New Roman" w:hAnsi="Times New Roman" w:cs="Times New Roman"/>
          <w:sz w:val="18"/>
          <w:szCs w:val="18"/>
        </w:rPr>
        <w:t>Jeżeli nie wskazano innej podstawy prawnej, przepisy w nawiasach oznaczają odpowiednie artykuły ustawy z dnia 6 czerwca 1997 r.</w:t>
      </w:r>
      <w:r w:rsidRPr="00F80C38">
        <w:rPr>
          <w:rFonts w:ascii="Times New Roman" w:eastAsia="Times New Roman" w:hAnsi="Times New Roman" w:cs="Times New Roman"/>
          <w:sz w:val="18"/>
          <w:szCs w:val="18"/>
        </w:rPr>
        <w:t>– Kodeks karny wykonawczy (Dz. U. poz. 557, z późn. zm.).</w:t>
      </w:r>
    </w:p>
    <w:p w14:paraId="53640CED" w14:textId="37A95DFF" w:rsidR="00F80C38" w:rsidRDefault="00F80C38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0826464"/>
      <w:docPartObj>
        <w:docPartGallery w:val="Page Numbers (Bottom of Page)"/>
        <w:docPartUnique/>
      </w:docPartObj>
    </w:sdtPr>
    <w:sdtContent>
      <w:p w14:paraId="6A8A4E8C" w14:textId="7646BF70" w:rsidR="00CB06AA" w:rsidRDefault="00CB06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83C38E" w14:textId="77777777" w:rsidR="00CB06AA" w:rsidRDefault="00CB06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4934F" w14:textId="77777777" w:rsidR="00C71B6A" w:rsidRDefault="00C71B6A" w:rsidP="00EA6F33">
      <w:r>
        <w:separator/>
      </w:r>
    </w:p>
  </w:footnote>
  <w:footnote w:type="continuationSeparator" w:id="0">
    <w:p w14:paraId="4D6D0D9D" w14:textId="77777777" w:rsidR="00C71B6A" w:rsidRDefault="00C71B6A" w:rsidP="00EA6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67E4FE82">
      <w:start w:val="1"/>
      <w:numFmt w:val="bullet"/>
      <w:lvlText w:val="§"/>
      <w:lvlJc w:val="left"/>
    </w:lvl>
    <w:lvl w:ilvl="1" w:tplc="6E0E6980">
      <w:start w:val="1"/>
      <w:numFmt w:val="bullet"/>
      <w:lvlText w:val=""/>
      <w:lvlJc w:val="left"/>
    </w:lvl>
    <w:lvl w:ilvl="2" w:tplc="B7469AA2">
      <w:start w:val="1"/>
      <w:numFmt w:val="bullet"/>
      <w:lvlText w:val=""/>
      <w:lvlJc w:val="left"/>
    </w:lvl>
    <w:lvl w:ilvl="3" w:tplc="B3069526">
      <w:start w:val="1"/>
      <w:numFmt w:val="bullet"/>
      <w:lvlText w:val=""/>
      <w:lvlJc w:val="left"/>
    </w:lvl>
    <w:lvl w:ilvl="4" w:tplc="5BB0FADE">
      <w:start w:val="1"/>
      <w:numFmt w:val="bullet"/>
      <w:lvlText w:val=""/>
      <w:lvlJc w:val="left"/>
    </w:lvl>
    <w:lvl w:ilvl="5" w:tplc="B8F87CC4">
      <w:start w:val="1"/>
      <w:numFmt w:val="bullet"/>
      <w:lvlText w:val=""/>
      <w:lvlJc w:val="left"/>
    </w:lvl>
    <w:lvl w:ilvl="6" w:tplc="D7AC7D88">
      <w:start w:val="1"/>
      <w:numFmt w:val="bullet"/>
      <w:lvlText w:val=""/>
      <w:lvlJc w:val="left"/>
    </w:lvl>
    <w:lvl w:ilvl="7" w:tplc="3984DE9C">
      <w:start w:val="1"/>
      <w:numFmt w:val="bullet"/>
      <w:lvlText w:val=""/>
      <w:lvlJc w:val="left"/>
    </w:lvl>
    <w:lvl w:ilvl="8" w:tplc="A022AE0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6E87CCC"/>
    <w:lvl w:ilvl="0" w:tplc="D6CA9E3E">
      <w:start w:val="1"/>
      <w:numFmt w:val="decimal"/>
      <w:lvlText w:val="%1)"/>
      <w:lvlJc w:val="left"/>
    </w:lvl>
    <w:lvl w:ilvl="1" w:tplc="1F0EBCE6">
      <w:start w:val="1"/>
      <w:numFmt w:val="bullet"/>
      <w:lvlText w:val=""/>
      <w:lvlJc w:val="left"/>
    </w:lvl>
    <w:lvl w:ilvl="2" w:tplc="5C742A84">
      <w:start w:val="1"/>
      <w:numFmt w:val="bullet"/>
      <w:lvlText w:val=""/>
      <w:lvlJc w:val="left"/>
    </w:lvl>
    <w:lvl w:ilvl="3" w:tplc="91C24234">
      <w:start w:val="1"/>
      <w:numFmt w:val="bullet"/>
      <w:lvlText w:val=""/>
      <w:lvlJc w:val="left"/>
    </w:lvl>
    <w:lvl w:ilvl="4" w:tplc="1BFC1044">
      <w:start w:val="1"/>
      <w:numFmt w:val="bullet"/>
      <w:lvlText w:val=""/>
      <w:lvlJc w:val="left"/>
    </w:lvl>
    <w:lvl w:ilvl="5" w:tplc="79D0B8F6">
      <w:start w:val="1"/>
      <w:numFmt w:val="bullet"/>
      <w:lvlText w:val=""/>
      <w:lvlJc w:val="left"/>
    </w:lvl>
    <w:lvl w:ilvl="6" w:tplc="3B3CC6FA">
      <w:start w:val="1"/>
      <w:numFmt w:val="bullet"/>
      <w:lvlText w:val=""/>
      <w:lvlJc w:val="left"/>
    </w:lvl>
    <w:lvl w:ilvl="7" w:tplc="18A868D8">
      <w:start w:val="1"/>
      <w:numFmt w:val="bullet"/>
      <w:lvlText w:val=""/>
      <w:lvlJc w:val="left"/>
    </w:lvl>
    <w:lvl w:ilvl="8" w:tplc="91F6383E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D1B58BA"/>
    <w:lvl w:ilvl="0" w:tplc="B1189254">
      <w:start w:val="1"/>
      <w:numFmt w:val="decimal"/>
      <w:lvlText w:val="%1."/>
      <w:lvlJc w:val="left"/>
    </w:lvl>
    <w:lvl w:ilvl="1" w:tplc="0DFE254A">
      <w:start w:val="1"/>
      <w:numFmt w:val="bullet"/>
      <w:lvlText w:val=""/>
      <w:lvlJc w:val="left"/>
    </w:lvl>
    <w:lvl w:ilvl="2" w:tplc="D378421E">
      <w:start w:val="1"/>
      <w:numFmt w:val="bullet"/>
      <w:lvlText w:val=""/>
      <w:lvlJc w:val="left"/>
    </w:lvl>
    <w:lvl w:ilvl="3" w:tplc="F2707030">
      <w:start w:val="1"/>
      <w:numFmt w:val="bullet"/>
      <w:lvlText w:val=""/>
      <w:lvlJc w:val="left"/>
    </w:lvl>
    <w:lvl w:ilvl="4" w:tplc="496E982E">
      <w:start w:val="1"/>
      <w:numFmt w:val="bullet"/>
      <w:lvlText w:val=""/>
      <w:lvlJc w:val="left"/>
    </w:lvl>
    <w:lvl w:ilvl="5" w:tplc="8A345466">
      <w:start w:val="1"/>
      <w:numFmt w:val="bullet"/>
      <w:lvlText w:val=""/>
      <w:lvlJc w:val="left"/>
    </w:lvl>
    <w:lvl w:ilvl="6" w:tplc="2544002C">
      <w:start w:val="1"/>
      <w:numFmt w:val="bullet"/>
      <w:lvlText w:val=""/>
      <w:lvlJc w:val="left"/>
    </w:lvl>
    <w:lvl w:ilvl="7" w:tplc="CECA9E84">
      <w:start w:val="1"/>
      <w:numFmt w:val="bullet"/>
      <w:lvlText w:val=""/>
      <w:lvlJc w:val="left"/>
    </w:lvl>
    <w:lvl w:ilvl="8" w:tplc="C70A73D8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07ED7AA"/>
    <w:lvl w:ilvl="0" w:tplc="5BB0CC2A">
      <w:start w:val="1"/>
      <w:numFmt w:val="decimal"/>
      <w:lvlText w:val="%1)"/>
      <w:lvlJc w:val="left"/>
    </w:lvl>
    <w:lvl w:ilvl="1" w:tplc="1D966ED0">
      <w:start w:val="1"/>
      <w:numFmt w:val="decimal"/>
      <w:lvlText w:val="%2"/>
      <w:lvlJc w:val="left"/>
    </w:lvl>
    <w:lvl w:ilvl="2" w:tplc="A6A4595A">
      <w:start w:val="1"/>
      <w:numFmt w:val="bullet"/>
      <w:lvlText w:val=""/>
      <w:lvlJc w:val="left"/>
    </w:lvl>
    <w:lvl w:ilvl="3" w:tplc="61D82788">
      <w:start w:val="1"/>
      <w:numFmt w:val="bullet"/>
      <w:lvlText w:val=""/>
      <w:lvlJc w:val="left"/>
    </w:lvl>
    <w:lvl w:ilvl="4" w:tplc="FAAADFAE">
      <w:start w:val="1"/>
      <w:numFmt w:val="bullet"/>
      <w:lvlText w:val=""/>
      <w:lvlJc w:val="left"/>
    </w:lvl>
    <w:lvl w:ilvl="5" w:tplc="CCA67EFE">
      <w:start w:val="1"/>
      <w:numFmt w:val="bullet"/>
      <w:lvlText w:val=""/>
      <w:lvlJc w:val="left"/>
    </w:lvl>
    <w:lvl w:ilvl="6" w:tplc="699888A2">
      <w:start w:val="1"/>
      <w:numFmt w:val="bullet"/>
      <w:lvlText w:val=""/>
      <w:lvlJc w:val="left"/>
    </w:lvl>
    <w:lvl w:ilvl="7" w:tplc="3A1EF222">
      <w:start w:val="1"/>
      <w:numFmt w:val="bullet"/>
      <w:lvlText w:val=""/>
      <w:lvlJc w:val="left"/>
    </w:lvl>
    <w:lvl w:ilvl="8" w:tplc="BA4A6314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2EB141F2"/>
    <w:lvl w:ilvl="0" w:tplc="C6680830">
      <w:start w:val="1"/>
      <w:numFmt w:val="decimal"/>
      <w:lvlText w:val="%1)"/>
      <w:lvlJc w:val="left"/>
    </w:lvl>
    <w:lvl w:ilvl="1" w:tplc="647EB7DA">
      <w:start w:val="1"/>
      <w:numFmt w:val="decimal"/>
      <w:lvlText w:val="%2"/>
      <w:lvlJc w:val="left"/>
    </w:lvl>
    <w:lvl w:ilvl="2" w:tplc="A20C285A">
      <w:start w:val="1"/>
      <w:numFmt w:val="bullet"/>
      <w:lvlText w:val=""/>
      <w:lvlJc w:val="left"/>
    </w:lvl>
    <w:lvl w:ilvl="3" w:tplc="8EC0FDB0">
      <w:start w:val="1"/>
      <w:numFmt w:val="bullet"/>
      <w:lvlText w:val=""/>
      <w:lvlJc w:val="left"/>
    </w:lvl>
    <w:lvl w:ilvl="4" w:tplc="E02EDBCA">
      <w:start w:val="1"/>
      <w:numFmt w:val="bullet"/>
      <w:lvlText w:val=""/>
      <w:lvlJc w:val="left"/>
    </w:lvl>
    <w:lvl w:ilvl="5" w:tplc="9312B05A">
      <w:start w:val="1"/>
      <w:numFmt w:val="bullet"/>
      <w:lvlText w:val=""/>
      <w:lvlJc w:val="left"/>
    </w:lvl>
    <w:lvl w:ilvl="6" w:tplc="E4E010E0">
      <w:start w:val="1"/>
      <w:numFmt w:val="bullet"/>
      <w:lvlText w:val=""/>
      <w:lvlJc w:val="left"/>
    </w:lvl>
    <w:lvl w:ilvl="7" w:tplc="C7B040B2">
      <w:start w:val="1"/>
      <w:numFmt w:val="bullet"/>
      <w:lvlText w:val=""/>
      <w:lvlJc w:val="left"/>
    </w:lvl>
    <w:lvl w:ilvl="8" w:tplc="76AE750E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1B71EFA"/>
    <w:lvl w:ilvl="0" w:tplc="BAB4227A">
      <w:start w:val="1"/>
      <w:numFmt w:val="decimal"/>
      <w:lvlText w:val="%1)"/>
      <w:lvlJc w:val="left"/>
    </w:lvl>
    <w:lvl w:ilvl="1" w:tplc="2AE632E8">
      <w:start w:val="1"/>
      <w:numFmt w:val="bullet"/>
      <w:lvlText w:val=""/>
      <w:lvlJc w:val="left"/>
    </w:lvl>
    <w:lvl w:ilvl="2" w:tplc="4C140928">
      <w:start w:val="1"/>
      <w:numFmt w:val="bullet"/>
      <w:lvlText w:val=""/>
      <w:lvlJc w:val="left"/>
    </w:lvl>
    <w:lvl w:ilvl="3" w:tplc="7F6E36DC">
      <w:start w:val="1"/>
      <w:numFmt w:val="bullet"/>
      <w:lvlText w:val=""/>
      <w:lvlJc w:val="left"/>
    </w:lvl>
    <w:lvl w:ilvl="4" w:tplc="16C4D072">
      <w:start w:val="1"/>
      <w:numFmt w:val="bullet"/>
      <w:lvlText w:val=""/>
      <w:lvlJc w:val="left"/>
    </w:lvl>
    <w:lvl w:ilvl="5" w:tplc="5958F5FA">
      <w:start w:val="1"/>
      <w:numFmt w:val="bullet"/>
      <w:lvlText w:val=""/>
      <w:lvlJc w:val="left"/>
    </w:lvl>
    <w:lvl w:ilvl="6" w:tplc="06B00FB4">
      <w:start w:val="1"/>
      <w:numFmt w:val="bullet"/>
      <w:lvlText w:val=""/>
      <w:lvlJc w:val="left"/>
    </w:lvl>
    <w:lvl w:ilvl="7" w:tplc="D486AC94">
      <w:start w:val="1"/>
      <w:numFmt w:val="bullet"/>
      <w:lvlText w:val=""/>
      <w:lvlJc w:val="left"/>
    </w:lvl>
    <w:lvl w:ilvl="8" w:tplc="215E767A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E2A9E2"/>
    <w:lvl w:ilvl="0" w:tplc="F47A83DE">
      <w:start w:val="1"/>
      <w:numFmt w:val="decimal"/>
      <w:lvlText w:val="%1)"/>
      <w:lvlJc w:val="left"/>
    </w:lvl>
    <w:lvl w:ilvl="1" w:tplc="48C6597C">
      <w:start w:val="1"/>
      <w:numFmt w:val="bullet"/>
      <w:lvlText w:val=""/>
      <w:lvlJc w:val="left"/>
    </w:lvl>
    <w:lvl w:ilvl="2" w:tplc="77A22328">
      <w:start w:val="1"/>
      <w:numFmt w:val="bullet"/>
      <w:lvlText w:val=""/>
      <w:lvlJc w:val="left"/>
    </w:lvl>
    <w:lvl w:ilvl="3" w:tplc="259A0D98">
      <w:start w:val="1"/>
      <w:numFmt w:val="bullet"/>
      <w:lvlText w:val=""/>
      <w:lvlJc w:val="left"/>
    </w:lvl>
    <w:lvl w:ilvl="4" w:tplc="F91A1FEE">
      <w:start w:val="1"/>
      <w:numFmt w:val="bullet"/>
      <w:lvlText w:val=""/>
      <w:lvlJc w:val="left"/>
    </w:lvl>
    <w:lvl w:ilvl="5" w:tplc="3CD42546">
      <w:start w:val="1"/>
      <w:numFmt w:val="bullet"/>
      <w:lvlText w:val=""/>
      <w:lvlJc w:val="left"/>
    </w:lvl>
    <w:lvl w:ilvl="6" w:tplc="7AE653FE">
      <w:start w:val="1"/>
      <w:numFmt w:val="bullet"/>
      <w:lvlText w:val=""/>
      <w:lvlJc w:val="left"/>
    </w:lvl>
    <w:lvl w:ilvl="7" w:tplc="C0CAADEE">
      <w:start w:val="1"/>
      <w:numFmt w:val="bullet"/>
      <w:lvlText w:val=""/>
      <w:lvlJc w:val="left"/>
    </w:lvl>
    <w:lvl w:ilvl="8" w:tplc="3342BF5E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6486C932"/>
    <w:lvl w:ilvl="0" w:tplc="0ED44062">
      <w:start w:val="2"/>
      <w:numFmt w:val="decimal"/>
      <w:lvlText w:val="%1."/>
      <w:lvlJc w:val="left"/>
    </w:lvl>
    <w:lvl w:ilvl="1" w:tplc="8A6CC8E4">
      <w:start w:val="1"/>
      <w:numFmt w:val="bullet"/>
      <w:lvlText w:val=""/>
      <w:lvlJc w:val="left"/>
    </w:lvl>
    <w:lvl w:ilvl="2" w:tplc="7A569A22">
      <w:start w:val="1"/>
      <w:numFmt w:val="bullet"/>
      <w:lvlText w:val=""/>
      <w:lvlJc w:val="left"/>
    </w:lvl>
    <w:lvl w:ilvl="3" w:tplc="B476A096">
      <w:start w:val="1"/>
      <w:numFmt w:val="bullet"/>
      <w:lvlText w:val=""/>
      <w:lvlJc w:val="left"/>
    </w:lvl>
    <w:lvl w:ilvl="4" w:tplc="4A5E64CA">
      <w:start w:val="1"/>
      <w:numFmt w:val="bullet"/>
      <w:lvlText w:val=""/>
      <w:lvlJc w:val="left"/>
    </w:lvl>
    <w:lvl w:ilvl="5" w:tplc="32FA1652">
      <w:start w:val="1"/>
      <w:numFmt w:val="bullet"/>
      <w:lvlText w:val=""/>
      <w:lvlJc w:val="left"/>
    </w:lvl>
    <w:lvl w:ilvl="6" w:tplc="9B86DC76">
      <w:start w:val="1"/>
      <w:numFmt w:val="bullet"/>
      <w:lvlText w:val=""/>
      <w:lvlJc w:val="left"/>
    </w:lvl>
    <w:lvl w:ilvl="7" w:tplc="16FAE7BE">
      <w:start w:val="1"/>
      <w:numFmt w:val="bullet"/>
      <w:lvlText w:val=""/>
      <w:lvlJc w:val="left"/>
    </w:lvl>
    <w:lvl w:ilvl="8" w:tplc="281E53A4">
      <w:start w:val="1"/>
      <w:numFmt w:val="bullet"/>
      <w:lvlText w:val=""/>
      <w:lvlJc w:val="left"/>
    </w:lvl>
  </w:abstractNum>
  <w:abstractNum w:abstractNumId="8" w15:restartNumberingAfterBreak="0">
    <w:nsid w:val="0F432D35"/>
    <w:multiLevelType w:val="hybridMultilevel"/>
    <w:tmpl w:val="7545E146"/>
    <w:lvl w:ilvl="0" w:tplc="6CD6CB7A">
      <w:start w:val="2"/>
      <w:numFmt w:val="decimal"/>
      <w:lvlText w:val="%1."/>
      <w:lvlJc w:val="left"/>
    </w:lvl>
    <w:lvl w:ilvl="1" w:tplc="8A6CC8E4">
      <w:start w:val="1"/>
      <w:numFmt w:val="bullet"/>
      <w:lvlText w:val=""/>
      <w:lvlJc w:val="left"/>
    </w:lvl>
    <w:lvl w:ilvl="2" w:tplc="7A569A22">
      <w:start w:val="1"/>
      <w:numFmt w:val="bullet"/>
      <w:lvlText w:val=""/>
      <w:lvlJc w:val="left"/>
    </w:lvl>
    <w:lvl w:ilvl="3" w:tplc="B476A096">
      <w:start w:val="1"/>
      <w:numFmt w:val="bullet"/>
      <w:lvlText w:val=""/>
      <w:lvlJc w:val="left"/>
    </w:lvl>
    <w:lvl w:ilvl="4" w:tplc="4A5E64CA">
      <w:start w:val="1"/>
      <w:numFmt w:val="bullet"/>
      <w:lvlText w:val=""/>
      <w:lvlJc w:val="left"/>
    </w:lvl>
    <w:lvl w:ilvl="5" w:tplc="32FA1652">
      <w:start w:val="1"/>
      <w:numFmt w:val="bullet"/>
      <w:lvlText w:val=""/>
      <w:lvlJc w:val="left"/>
    </w:lvl>
    <w:lvl w:ilvl="6" w:tplc="9B86DC76">
      <w:start w:val="1"/>
      <w:numFmt w:val="bullet"/>
      <w:lvlText w:val=""/>
      <w:lvlJc w:val="left"/>
    </w:lvl>
    <w:lvl w:ilvl="7" w:tplc="16FAE7BE">
      <w:start w:val="1"/>
      <w:numFmt w:val="bullet"/>
      <w:lvlText w:val=""/>
      <w:lvlJc w:val="left"/>
    </w:lvl>
    <w:lvl w:ilvl="8" w:tplc="281E53A4">
      <w:start w:val="1"/>
      <w:numFmt w:val="bullet"/>
      <w:lvlText w:val=""/>
      <w:lvlJc w:val="left"/>
    </w:lvl>
  </w:abstractNum>
  <w:abstractNum w:abstractNumId="9" w15:restartNumberingAfterBreak="0">
    <w:nsid w:val="312C1FE3"/>
    <w:multiLevelType w:val="hybridMultilevel"/>
    <w:tmpl w:val="F726F116"/>
    <w:lvl w:ilvl="0" w:tplc="0ECABD0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65"/>
    <w:rsid w:val="000B283E"/>
    <w:rsid w:val="0010025B"/>
    <w:rsid w:val="00101FA6"/>
    <w:rsid w:val="00190165"/>
    <w:rsid w:val="001A519D"/>
    <w:rsid w:val="00291406"/>
    <w:rsid w:val="003115B8"/>
    <w:rsid w:val="003E5D1F"/>
    <w:rsid w:val="00410A47"/>
    <w:rsid w:val="00757ACD"/>
    <w:rsid w:val="00786B62"/>
    <w:rsid w:val="00792E24"/>
    <w:rsid w:val="008245AC"/>
    <w:rsid w:val="008F736E"/>
    <w:rsid w:val="00AF529A"/>
    <w:rsid w:val="00B16D40"/>
    <w:rsid w:val="00B268F1"/>
    <w:rsid w:val="00C71B6A"/>
    <w:rsid w:val="00CB06AA"/>
    <w:rsid w:val="00D24889"/>
    <w:rsid w:val="00D97503"/>
    <w:rsid w:val="00E17A0C"/>
    <w:rsid w:val="00E215E4"/>
    <w:rsid w:val="00EA6F33"/>
    <w:rsid w:val="00EF52B4"/>
    <w:rsid w:val="00F8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40C80"/>
  <w15:chartTrackingRefBased/>
  <w15:docId w15:val="{8850AF45-F35C-4DEB-A229-89CB2BFC7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45AC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6F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6F33"/>
  </w:style>
  <w:style w:type="character" w:styleId="Odwoanieprzypisukocowego">
    <w:name w:val="endnote reference"/>
    <w:basedOn w:val="Domylnaczcionkaakapitu"/>
    <w:uiPriority w:val="99"/>
    <w:semiHidden/>
    <w:unhideWhenUsed/>
    <w:rsid w:val="00EA6F3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10A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A47"/>
  </w:style>
  <w:style w:type="paragraph" w:styleId="Stopka">
    <w:name w:val="footer"/>
    <w:basedOn w:val="Normalny"/>
    <w:link w:val="StopkaZnak"/>
    <w:uiPriority w:val="99"/>
    <w:unhideWhenUsed/>
    <w:rsid w:val="00410A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2725_SDE%20pouczenie%20prawa%20i%20obowi&#261;zki%202016-10-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E6A8B-9CD1-4BFF-BF13-A7A43E9E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20240909_112725_SDE pouczenie prawa i obowiązki 2016-10-15</Template>
  <TotalTime>3</TotalTime>
  <Pages>3</Pages>
  <Words>1193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Mikliński Michał</dc:creator>
  <cp:keywords/>
  <cp:lastModifiedBy>Gierszyński Krzysztof</cp:lastModifiedBy>
  <cp:revision>4</cp:revision>
  <dcterms:created xsi:type="dcterms:W3CDTF">2024-12-19T11:44:00Z</dcterms:created>
  <dcterms:modified xsi:type="dcterms:W3CDTF">2025-01-31T08:22:00Z</dcterms:modified>
</cp:coreProperties>
</file>